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2"/>
        <w:gridCol w:w="3947"/>
        <w:gridCol w:w="992"/>
        <w:gridCol w:w="4275"/>
      </w:tblGrid>
      <w:tr>
        <w:trPr>
          <w:trHeight w:val="568"/>
        </w:trPr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947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 раскрываемой информации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4275" w:type="dxa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</w:t>
            </w:r>
          </w:p>
        </w:tc>
      </w:tr>
      <w:tr>
        <w:trPr>
          <w:trHeight w:val="2825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11,б)</w:t>
            </w:r>
          </w:p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абзац</w:t>
            </w:r>
            <w:r>
              <w:rPr>
                <w:sz w:val="20"/>
                <w:szCs w:val="20"/>
                <w:lang w:val="en-US"/>
              </w:rPr>
              <w:t xml:space="preserve"> 17</w:t>
            </w:r>
          </w:p>
        </w:tc>
        <w:tc>
          <w:tcPr>
            <w:tcW w:w="3947" w:type="dxa"/>
            <w:vAlign w:val="center"/>
          </w:tcPr>
          <w:p>
            <w:pPr>
              <w:ind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всем уровням напряжения ниже 35 кВ с дифференциацией по всем уровням напряжения;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кв. 2018г.</w:t>
            </w:r>
          </w:p>
        </w:tc>
        <w:tc>
          <w:tcPr>
            <w:tcW w:w="4275" w:type="dxa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свободной для технологического присоединения: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</w:rPr>
              <w:t>кВ –104,6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- 24,265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мВт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потребленной трансформаторной мощности за I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кв. 2018 года составляет 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6(10)к В –0мВт</w:t>
            </w:r>
          </w:p>
          <w:p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0,4кВ – 1,188</w:t>
            </w:r>
            <w:r>
              <w:t xml:space="preserve"> </w:t>
            </w:r>
            <w:r>
              <w:rPr>
                <w:sz w:val="20"/>
                <w:szCs w:val="20"/>
              </w:rPr>
              <w:t>мВт</w:t>
            </w:r>
          </w:p>
        </w:tc>
      </w:tr>
    </w:tbl>
    <w:p>
      <w:pPr>
        <w:rPr>
          <w:sz w:val="20"/>
          <w:szCs w:val="20"/>
        </w:rPr>
      </w:pPr>
    </w:p>
    <w:sectPr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0B3E-26A3-4C2E-B573-F874FBAF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6</cp:revision>
  <dcterms:created xsi:type="dcterms:W3CDTF">2018-03-29T05:34:00Z</dcterms:created>
  <dcterms:modified xsi:type="dcterms:W3CDTF">2018-06-28T05:38:00Z</dcterms:modified>
</cp:coreProperties>
</file>