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B67" w:rsidRDefault="00D43B67">
      <w:pPr>
        <w:rPr>
          <w:sz w:val="20"/>
          <w:szCs w:val="20"/>
        </w:rPr>
      </w:pPr>
    </w:p>
    <w:p w:rsidR="00D43B67" w:rsidRDefault="00D43B67">
      <w:pPr>
        <w:rPr>
          <w:sz w:val="20"/>
          <w:szCs w:val="20"/>
        </w:rPr>
      </w:pP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1101"/>
        <w:gridCol w:w="3969"/>
        <w:gridCol w:w="993"/>
        <w:gridCol w:w="4110"/>
      </w:tblGrid>
      <w:tr w:rsidR="00D43B67">
        <w:trPr>
          <w:trHeight w:val="568"/>
        </w:trPr>
        <w:tc>
          <w:tcPr>
            <w:tcW w:w="1101" w:type="dxa"/>
            <w:vAlign w:val="center"/>
          </w:tcPr>
          <w:p w:rsidR="00D43B67" w:rsidRDefault="004857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3969" w:type="dxa"/>
            <w:vAlign w:val="center"/>
          </w:tcPr>
          <w:p w:rsidR="00D43B67" w:rsidRDefault="004857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Характер раскрываемой информации</w:t>
            </w:r>
          </w:p>
        </w:tc>
        <w:tc>
          <w:tcPr>
            <w:tcW w:w="993" w:type="dxa"/>
            <w:vAlign w:val="center"/>
          </w:tcPr>
          <w:p w:rsidR="00D43B67" w:rsidRDefault="004857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Период</w:t>
            </w:r>
          </w:p>
        </w:tc>
        <w:tc>
          <w:tcPr>
            <w:tcW w:w="4110" w:type="dxa"/>
            <w:vAlign w:val="center"/>
          </w:tcPr>
          <w:p w:rsidR="00D43B67" w:rsidRDefault="004857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Информация</w:t>
            </w:r>
          </w:p>
        </w:tc>
      </w:tr>
      <w:tr w:rsidR="00D43B67">
        <w:trPr>
          <w:trHeight w:val="2825"/>
        </w:trPr>
        <w:tc>
          <w:tcPr>
            <w:tcW w:w="1101" w:type="dxa"/>
            <w:vAlign w:val="center"/>
          </w:tcPr>
          <w:p w:rsidR="00D43B67" w:rsidRDefault="004857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 в (1)</w:t>
            </w:r>
          </w:p>
        </w:tc>
        <w:tc>
          <w:tcPr>
            <w:tcW w:w="3969" w:type="dxa"/>
            <w:vAlign w:val="center"/>
          </w:tcPr>
          <w:p w:rsidR="00D43B67" w:rsidRDefault="004857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 величине резервируемой максимальной мощности, определяемой в соответствии с Правилами недискриминационного доступа к услугам по передаче электрической энергии и оказания этих услуг, </w:t>
            </w:r>
            <w:r>
              <w:rPr>
                <w:sz w:val="20"/>
                <w:szCs w:val="20"/>
              </w:rPr>
              <w:t>утвержденными постановлением Правительства Российской Федерации от 27 декабря 2004 г. N 861, в разбивке по уровням напряжения;</w:t>
            </w:r>
          </w:p>
        </w:tc>
        <w:tc>
          <w:tcPr>
            <w:tcW w:w="993" w:type="dxa"/>
            <w:vAlign w:val="center"/>
          </w:tcPr>
          <w:p w:rsidR="00D43B67" w:rsidRDefault="0048570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III</w:t>
            </w:r>
            <w:r>
              <w:rPr>
                <w:sz w:val="20"/>
                <w:szCs w:val="20"/>
              </w:rPr>
              <w:t xml:space="preserve"> кв. 201</w:t>
            </w:r>
            <w:r>
              <w:rPr>
                <w:sz w:val="20"/>
                <w:szCs w:val="20"/>
                <w:lang w:val="en-US"/>
              </w:rPr>
              <w:t>8</w:t>
            </w:r>
            <w:r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4110" w:type="dxa"/>
            <w:vAlign w:val="center"/>
          </w:tcPr>
          <w:p w:rsidR="00D43B67" w:rsidRDefault="00485705" w:rsidP="0048570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резервируемой максимальной мощности за I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>I квартал 2018 составил 64204,00</w:t>
            </w:r>
            <w:r>
              <w:rPr>
                <w:sz w:val="20"/>
                <w:szCs w:val="20"/>
              </w:rPr>
              <w:t xml:space="preserve"> кВт </w:t>
            </w:r>
            <w:bookmarkStart w:id="0" w:name="_GoBack"/>
            <w:bookmarkEnd w:id="0"/>
          </w:p>
        </w:tc>
      </w:tr>
    </w:tbl>
    <w:p w:rsidR="00D43B67" w:rsidRDefault="00D43B67">
      <w:pPr>
        <w:rPr>
          <w:sz w:val="20"/>
          <w:szCs w:val="20"/>
        </w:rPr>
      </w:pPr>
    </w:p>
    <w:sectPr w:rsidR="00D43B67">
      <w:headerReference w:type="default" r:id="rId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3B67" w:rsidRDefault="00485705">
      <w:pPr>
        <w:spacing w:line="240" w:lineRule="auto"/>
      </w:pPr>
      <w:r>
        <w:separator/>
      </w:r>
    </w:p>
  </w:endnote>
  <w:endnote w:type="continuationSeparator" w:id="0">
    <w:p w:rsidR="00D43B67" w:rsidRDefault="004857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3B67" w:rsidRDefault="00485705">
      <w:pPr>
        <w:spacing w:line="240" w:lineRule="auto"/>
      </w:pPr>
      <w:r>
        <w:separator/>
      </w:r>
    </w:p>
  </w:footnote>
  <w:footnote w:type="continuationSeparator" w:id="0">
    <w:p w:rsidR="00D43B67" w:rsidRDefault="0048570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B67" w:rsidRDefault="00485705">
    <w:pPr>
      <w:contextualSpacing/>
      <w:rPr>
        <w:b/>
      </w:rPr>
    </w:pPr>
    <w:r>
      <w:rPr>
        <w:b/>
      </w:rPr>
      <w:t>В соответствии с требованиями Стандартов раскрытия информации субъектами оптового и розничного рынков электрической энергии МУП «Электросервис» размещает информацию:</w:t>
    </w:r>
  </w:p>
  <w:p w:rsidR="00D43B67" w:rsidRDefault="00D43B6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B67"/>
    <w:rsid w:val="00485705"/>
    <w:rsid w:val="00D43B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A76FD3-2F93-4CDC-A872-B211ACE1D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="Times New Roman"/>
        <w:sz w:val="24"/>
        <w:szCs w:val="24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</w:style>
  <w:style w:type="paragraph" w:styleId="a6">
    <w:name w:val="footer"/>
    <w:basedOn w:val="a"/>
    <w:link w:val="a7"/>
    <w:uiPriority w:val="99"/>
    <w:semiHidden/>
    <w:unhideWhenUsed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409</Characters>
  <Application>Microsoft Office Word</Application>
  <DocSecurity>4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Юрий Епанешников</cp:lastModifiedBy>
  <cp:revision>2</cp:revision>
  <dcterms:created xsi:type="dcterms:W3CDTF">2018-09-27T22:52:00Z</dcterms:created>
  <dcterms:modified xsi:type="dcterms:W3CDTF">2018-09-27T22:52:00Z</dcterms:modified>
</cp:coreProperties>
</file>