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22"/>
        <w:gridCol w:w="989"/>
        <w:gridCol w:w="4465"/>
      </w:tblGrid>
      <w:tr>
        <w:trPr>
          <w:trHeight w:val="568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675" w:type="dxa"/>
            <w:vAlign w:val="center"/>
          </w:tcPr>
          <w:p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)(17)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о </w:t>
            </w:r>
            <w:bookmarkStart w:id="0" w:name="_GoBack"/>
            <w:r>
              <w:rPr>
                <w:rFonts w:ascii="Cambria" w:hAnsi="Cambria" w:cs="Cambria"/>
                <w:sz w:val="20"/>
                <w:szCs w:val="20"/>
              </w:rPr>
              <w:t xml:space="preserve">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кВ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bookmarkEnd w:id="0"/>
            <w:r>
              <w:rPr>
                <w:rFonts w:ascii="Cambria" w:hAnsi="Cambria" w:cs="Cambria"/>
                <w:sz w:val="20"/>
                <w:szCs w:val="20"/>
              </w:rPr>
              <w:t>с дифференциацией по всем уровням напряжения;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2018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–104,55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- 23,858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потребленной трансформаторной мощности за I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2018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–0,150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1,894мВт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5</cp:revision>
  <dcterms:created xsi:type="dcterms:W3CDTF">2018-09-27T22:41:00Z</dcterms:created>
  <dcterms:modified xsi:type="dcterms:W3CDTF">2018-09-27T23:19:00Z</dcterms:modified>
</cp:coreProperties>
</file>