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п. 11-б абзац 11. О размере фактических потерь, оплачиваемых покупателями при осуществлении расчетов за электрическую энергию по уровням напряжения:</w:t>
      </w:r>
    </w:p>
    <w:p>
      <w:pPr>
        <w:pStyle w:val="a3"/>
        <w:spacing w:after="120"/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</w:p>
    <w:p>
      <w:pPr>
        <w:jc w:val="both"/>
        <w:rPr>
          <w:sz w:val="23"/>
          <w:szCs w:val="23"/>
        </w:rPr>
      </w:pPr>
      <w:r>
        <w:rPr>
          <w:sz w:val="23"/>
          <w:szCs w:val="23"/>
        </w:rPr>
        <w:t>МУП «Электросервис» не имеет прямых отношений с покупателями и не осуществляет с ними расчеты за электрическую энергию.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0882"/>
    <w:multiLevelType w:val="hybridMultilevel"/>
    <w:tmpl w:val="41FA774C"/>
    <w:lvl w:ilvl="0" w:tplc="F5685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0E7F-E87B-4573-BA91-EF30461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9</cp:revision>
  <dcterms:created xsi:type="dcterms:W3CDTF">2015-09-13T22:41:00Z</dcterms:created>
  <dcterms:modified xsi:type="dcterms:W3CDTF">2018-02-26T21:06:00Z</dcterms:modified>
</cp:coreProperties>
</file>